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D636" w14:textId="15C33D53" w:rsidR="00CA3FB0" w:rsidRPr="00452433" w:rsidRDefault="00CA3FB0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FF5061">
        <w:rPr>
          <w:b/>
          <w:sz w:val="21"/>
          <w:szCs w:val="21"/>
          <w:lang w:val="ka-GE"/>
        </w:rPr>
        <w:t xml:space="preserve"> </w:t>
      </w:r>
      <w:r w:rsidR="00C10D92">
        <w:rPr>
          <w:rFonts w:ascii="Sylfaen" w:hAnsi="Sylfaen"/>
          <w:b/>
          <w:sz w:val="21"/>
          <w:szCs w:val="21"/>
          <w:lang w:val="ka-GE"/>
        </w:rPr>
        <w:t>არალეგალური ნაგავსაყრელების დახურვაზე</w:t>
      </w:r>
    </w:p>
    <w:p w14:paraId="7A867EAD" w14:textId="6677376B" w:rsidR="00CA3FB0" w:rsidRPr="00FF5061" w:rsidRDefault="00DE4FBC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მართვის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ტექნოლოგიები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რეგიონებში</w:t>
      </w:r>
      <w:r w:rsidR="00C503DC">
        <w:rPr>
          <w:rFonts w:ascii="Sylfaen" w:hAnsi="Sylfaen" w:cs="Sylfaen"/>
          <w:b/>
          <w:sz w:val="21"/>
          <w:szCs w:val="21"/>
          <w:lang w:val="ka-GE"/>
        </w:rPr>
        <w:t>,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ფაზა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sz w:val="21"/>
          <w:szCs w:val="21"/>
        </w:rPr>
        <w:t>II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="00CA3FB0" w:rsidRPr="00FF5061">
        <w:rPr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ფარგლებში</w:t>
      </w:r>
      <w:r w:rsidR="00CA3FB0" w:rsidRPr="00FF5061">
        <w:rPr>
          <w:b/>
          <w:sz w:val="21"/>
          <w:szCs w:val="21"/>
          <w:lang w:val="ka-GE"/>
        </w:rPr>
        <w:t xml:space="preserve"> </w:t>
      </w:r>
    </w:p>
    <w:p w14:paraId="3D5969FE" w14:textId="44337F30" w:rsidR="00CA3FB0" w:rsidRDefault="00CA3FB0" w:rsidP="00DE4FBC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ნარჩენების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მართვის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ტექნოლოგიები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რეგიონებში</w:t>
      </w:r>
      <w:r w:rsidR="00C503DC">
        <w:rPr>
          <w:rFonts w:ascii="Sylfaen" w:hAnsi="Sylfaen" w:cs="Sylfaen"/>
          <w:b/>
          <w:i/>
          <w:sz w:val="21"/>
          <w:szCs w:val="21"/>
          <w:lang w:val="ka-GE"/>
        </w:rPr>
        <w:t>,</w:t>
      </w:r>
      <w:r w:rsidRPr="00FF5061">
        <w:rPr>
          <w:rFonts w:cs="Sylfaen"/>
          <w:b/>
          <w:i/>
          <w:sz w:val="21"/>
          <w:szCs w:val="21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ფაზა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i/>
          <w:sz w:val="21"/>
          <w:szCs w:val="21"/>
        </w:rPr>
        <w:t>II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აცხადებს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ტენდერს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C10D92">
        <w:rPr>
          <w:rFonts w:ascii="Sylfaen" w:hAnsi="Sylfaen" w:cs="Sylfaen"/>
          <w:sz w:val="21"/>
          <w:szCs w:val="21"/>
          <w:lang w:val="ka-GE"/>
        </w:rPr>
        <w:t xml:space="preserve">არალეგალური </w:t>
      </w:r>
      <w:r w:rsidR="00C503DC">
        <w:rPr>
          <w:rFonts w:ascii="Sylfaen" w:hAnsi="Sylfaen" w:cs="Sylfaen"/>
          <w:sz w:val="21"/>
          <w:szCs w:val="21"/>
          <w:lang w:val="ka-GE"/>
        </w:rPr>
        <w:t>ნაგავსაყრელ</w:t>
      </w:r>
      <w:r w:rsidR="00A56243">
        <w:rPr>
          <w:rFonts w:ascii="Sylfaen" w:hAnsi="Sylfaen" w:cs="Sylfaen"/>
          <w:sz w:val="21"/>
          <w:szCs w:val="21"/>
          <w:lang w:val="ka-GE"/>
        </w:rPr>
        <w:t>ებ</w:t>
      </w:r>
      <w:r w:rsidR="00C10D92">
        <w:rPr>
          <w:rFonts w:ascii="Sylfaen" w:hAnsi="Sylfaen" w:cs="Sylfaen"/>
          <w:sz w:val="21"/>
          <w:szCs w:val="21"/>
          <w:lang w:val="ka-GE"/>
        </w:rPr>
        <w:t>ის დახურვ</w:t>
      </w:r>
      <w:r w:rsidR="009C7452">
        <w:rPr>
          <w:rFonts w:ascii="Sylfaen" w:hAnsi="Sylfaen" w:cs="Sylfaen"/>
          <w:sz w:val="21"/>
          <w:szCs w:val="21"/>
          <w:lang w:val="ka-GE"/>
        </w:rPr>
        <w:t xml:space="preserve">ის სამუშაოებზე </w:t>
      </w:r>
      <w:r w:rsidR="00845D5B">
        <w:rPr>
          <w:rFonts w:ascii="Sylfaen" w:hAnsi="Sylfaen" w:cs="Sylfaen"/>
          <w:sz w:val="21"/>
          <w:szCs w:val="21"/>
          <w:lang w:val="ka-GE"/>
        </w:rPr>
        <w:t>ხულოს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 მუნიციპალიტეტის </w:t>
      </w:r>
      <w:r w:rsidR="00C10D92">
        <w:rPr>
          <w:rFonts w:ascii="Sylfaen" w:hAnsi="Sylfaen" w:cs="Sylfaen"/>
          <w:sz w:val="21"/>
          <w:szCs w:val="21"/>
          <w:lang w:val="ka-GE"/>
        </w:rPr>
        <w:t xml:space="preserve">შემდეგ სოფლებში: </w:t>
      </w:r>
      <w:r w:rsidR="00845D5B">
        <w:rPr>
          <w:rFonts w:ascii="Sylfaen" w:hAnsi="Sylfaen" w:cs="Sylfaen"/>
          <w:sz w:val="21"/>
          <w:szCs w:val="21"/>
          <w:lang w:val="ka-GE"/>
        </w:rPr>
        <w:t>ირემაძეები და ტაბახმელა.</w:t>
      </w:r>
      <w:r w:rsidR="00C10D92">
        <w:rPr>
          <w:rFonts w:ascii="Sylfaen" w:hAnsi="Sylfaen" w:cs="Sylfaen"/>
          <w:sz w:val="21"/>
          <w:szCs w:val="21"/>
          <w:lang w:val="ka-GE"/>
        </w:rPr>
        <w:t xml:space="preserve"> </w:t>
      </w:r>
    </w:p>
    <w:p w14:paraId="07D453DA" w14:textId="77777777" w:rsidR="009E267F" w:rsidRPr="00FF5061" w:rsidRDefault="009E267F" w:rsidP="009E267F">
      <w:pPr>
        <w:ind w:right="90"/>
        <w:rPr>
          <w:rFonts w:cs="Sylfaen"/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FF5061">
        <w:rPr>
          <w:rFonts w:cs="Sylfaen"/>
          <w:b/>
          <w:sz w:val="21"/>
          <w:szCs w:val="21"/>
          <w:lang w:val="ka-GE"/>
        </w:rPr>
        <w:t>:</w:t>
      </w:r>
    </w:p>
    <w:p w14:paraId="51F8D126" w14:textId="02F0B544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ფაზა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>II</w:t>
      </w:r>
      <w:r w:rsidRPr="00FF5061">
        <w:rPr>
          <w:sz w:val="21"/>
          <w:szCs w:val="21"/>
          <w:lang w:val="ka-GE"/>
        </w:rPr>
        <w:t xml:space="preserve"> (</w:t>
      </w:r>
      <w:r w:rsidRPr="00023F1F">
        <w:rPr>
          <w:sz w:val="21"/>
          <w:szCs w:val="21"/>
          <w:lang w:val="ka-GE"/>
        </w:rPr>
        <w:t>WMTR II</w:t>
      </w:r>
      <w:r w:rsidRPr="00FF5061">
        <w:rPr>
          <w:sz w:val="21"/>
          <w:szCs w:val="21"/>
          <w:lang w:val="ka-GE"/>
        </w:rPr>
        <w:t xml:space="preserve">), </w:t>
      </w:r>
      <w:r w:rsidRPr="00023F1F">
        <w:rPr>
          <w:sz w:val="21"/>
          <w:szCs w:val="21"/>
          <w:lang w:val="ka-GE"/>
        </w:rPr>
        <w:t>USAID-</w:t>
      </w:r>
      <w:r w:rsidRPr="00FF5061">
        <w:rPr>
          <w:rFonts w:ascii="Sylfaen" w:hAnsi="Sylfaen" w:cs="Sylfaen"/>
          <w:sz w:val="21"/>
          <w:szCs w:val="21"/>
          <w:lang w:val="ka-GE"/>
        </w:rPr>
        <w:t>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მიერ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CENN </w:t>
      </w:r>
      <w:r w:rsidRPr="00FF5061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2017 </w:t>
      </w:r>
      <w:r w:rsidRPr="00FF5061">
        <w:rPr>
          <w:rFonts w:ascii="Sylfaen" w:hAnsi="Sylfaen" w:cs="Sylfaen"/>
          <w:sz w:val="21"/>
          <w:szCs w:val="21"/>
          <w:lang w:val="ka-GE"/>
        </w:rPr>
        <w:t>წლის</w:t>
      </w:r>
      <w:r w:rsidRPr="00FF5061">
        <w:rPr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>მარტიდან</w:t>
      </w:r>
      <w:r w:rsidRPr="00023F1F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მოდერნიზებ</w:t>
      </w:r>
      <w:r>
        <w:rPr>
          <w:rFonts w:ascii="Sylfaen" w:hAnsi="Sylfaen" w:cs="Sylfaen"/>
          <w:sz w:val="21"/>
          <w:szCs w:val="21"/>
          <w:lang w:val="ka-GE"/>
        </w:rPr>
        <w:t>აში</w:t>
      </w:r>
      <w:r w:rsidR="004D573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4D5733" w:rsidRPr="00CD3755">
        <w:rPr>
          <w:rFonts w:ascii="Sylfaen" w:hAnsi="Sylfaen" w:cs="Sylfaen"/>
          <w:sz w:val="21"/>
          <w:szCs w:val="21"/>
          <w:lang w:val="ka-GE"/>
        </w:rPr>
        <w:t>და მხარს უჭერს მდგრად განვითარებასა და ინკლუზიურ ეკონომიკურ ზრდას, უზრუნველყოფს ნარჩენების ისეთ მართვას,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ზიანს.</w:t>
      </w:r>
    </w:p>
    <w:p w14:paraId="32E498CF" w14:textId="0696008E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WMTR II </w:t>
      </w:r>
      <w:r w:rsidR="00C503DC">
        <w:rPr>
          <w:rFonts w:ascii="Sylfaen" w:hAnsi="Sylfaen"/>
          <w:sz w:val="21"/>
          <w:szCs w:val="21"/>
          <w:lang w:val="ka-GE"/>
        </w:rPr>
        <w:t xml:space="preserve">პროგრამა </w:t>
      </w:r>
      <w:r w:rsidRPr="00FF5061">
        <w:rPr>
          <w:rFonts w:ascii="Sylfaen" w:hAnsi="Sylfaen" w:cs="Sylfaen"/>
          <w:sz w:val="21"/>
          <w:szCs w:val="21"/>
          <w:lang w:val="ka-GE"/>
        </w:rPr>
        <w:t>მუშაობს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კახეთის</w:t>
      </w:r>
      <w:r>
        <w:rPr>
          <w:rFonts w:ascii="Sylfaen" w:hAnsi="Sylfaen" w:cs="Sylfaen"/>
          <w:sz w:val="21"/>
          <w:szCs w:val="21"/>
          <w:lang w:val="ka-GE"/>
        </w:rPr>
        <w:t>ა და შიდა ქართლის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</w:t>
      </w:r>
      <w:r>
        <w:rPr>
          <w:rFonts w:ascii="Sylfaen" w:hAnsi="Sylfaen" w:cs="Sylfaen"/>
          <w:sz w:val="21"/>
          <w:szCs w:val="21"/>
          <w:lang w:val="ka-GE"/>
        </w:rPr>
        <w:t>ებში,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აჭარის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sz w:val="21"/>
          <w:szCs w:val="21"/>
          <w:lang w:val="ka-GE"/>
        </w:rPr>
        <w:t>.</w:t>
      </w:r>
      <w:r w:rsidRPr="00FF5061">
        <w:rPr>
          <w:rFonts w:ascii="Sylfaen" w:hAnsi="Sylfaen" w:cs="Sylfaen"/>
          <w:sz w:val="21"/>
          <w:szCs w:val="21"/>
          <w:lang w:val="ka-GE"/>
        </w:rPr>
        <w:t>რ</w:t>
      </w:r>
      <w:r w:rsidRPr="00FF5061">
        <w:rPr>
          <w:sz w:val="21"/>
          <w:szCs w:val="21"/>
          <w:lang w:val="ka-GE"/>
        </w:rPr>
        <w:t>.–</w:t>
      </w:r>
      <w:r>
        <w:rPr>
          <w:rFonts w:ascii="Sylfaen" w:hAnsi="Sylfaen" w:cs="Sylfaen"/>
          <w:sz w:val="21"/>
          <w:szCs w:val="21"/>
          <w:lang w:val="ka-GE"/>
        </w:rPr>
        <w:t>სა</w:t>
      </w:r>
      <w:r w:rsidRPr="00FF5061">
        <w:rPr>
          <w:sz w:val="21"/>
          <w:szCs w:val="21"/>
          <w:lang w:val="ka-GE"/>
        </w:rPr>
        <w:t xml:space="preserve"> 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ქალაქ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FF5061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ახალი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ძლიერი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რათა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მიაღწიოს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დასახული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გადაჭრას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მდგრადი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Pr="00FF5061">
        <w:rPr>
          <w:sz w:val="21"/>
          <w:szCs w:val="21"/>
          <w:lang w:val="ka-GE"/>
        </w:rPr>
        <w:t>.</w:t>
      </w:r>
    </w:p>
    <w:p w14:paraId="1B8731F1" w14:textId="77A17DBA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 WMTR II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ოთხ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ძირითად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Pr="00FF5061">
        <w:rPr>
          <w:sz w:val="21"/>
          <w:szCs w:val="21"/>
          <w:lang w:val="ka-GE"/>
        </w:rPr>
        <w:t>:</w:t>
      </w:r>
    </w:p>
    <w:p w14:paraId="2C93A78B" w14:textId="77777777" w:rsidR="003155C0" w:rsidRPr="00C25C20" w:rsidRDefault="003155C0" w:rsidP="003155C0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r w:rsidRPr="00C25C20">
        <w:rPr>
          <w:rFonts w:ascii="Sylfaen" w:hAnsi="Sylfaen" w:cs="Sylfaen"/>
          <w:sz w:val="21"/>
          <w:szCs w:val="21"/>
        </w:rPr>
        <w:t>ნარჩენების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ინტეგრირებული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მართვის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სისტემის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განხორციელება</w:t>
      </w:r>
    </w:p>
    <w:p w14:paraId="378F53CB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r w:rsidRPr="00FF5061">
        <w:rPr>
          <w:rFonts w:ascii="Sylfaen" w:hAnsi="Sylfaen" w:cs="Sylfaen"/>
          <w:sz w:val="21"/>
          <w:szCs w:val="21"/>
        </w:rPr>
        <w:t>ნარჩენების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გადამ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rFonts w:ascii="Sylfaen" w:hAnsi="Sylfaen" w:cs="Sylfaen"/>
          <w:sz w:val="21"/>
          <w:szCs w:val="21"/>
        </w:rPr>
        <w:t>მუშავებელი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კერძო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სექტორის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გაძლიერება</w:t>
      </w:r>
    </w:p>
    <w:p w14:paraId="108E537D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rFonts w:ascii="Sylfaen" w:hAnsi="Sylfaen" w:cs="Sylfaen"/>
          <w:sz w:val="21"/>
          <w:szCs w:val="21"/>
        </w:rPr>
        <w:t>გარემოს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დაბინძურებისათვის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ჯარიმები</w:t>
      </w:r>
      <w:r>
        <w:rPr>
          <w:rFonts w:ascii="Sylfaen" w:hAnsi="Sylfaen" w:cs="Sylfaen"/>
          <w:sz w:val="21"/>
          <w:szCs w:val="21"/>
          <w:lang w:val="ka-GE"/>
        </w:rPr>
        <w:t xml:space="preserve">ს სისტემის </w:t>
      </w:r>
      <w:r w:rsidRPr="00FF5061">
        <w:rPr>
          <w:rFonts w:ascii="Sylfaen" w:hAnsi="Sylfaen" w:cs="Sylfaen"/>
          <w:sz w:val="21"/>
          <w:szCs w:val="21"/>
        </w:rPr>
        <w:t>და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ნარჩენების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მართვის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სატარიფო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პოლიტიკ</w:t>
      </w:r>
      <w:r>
        <w:rPr>
          <w:rFonts w:ascii="Sylfaen" w:hAnsi="Sylfaen" w:cs="Sylfaen"/>
          <w:sz w:val="21"/>
          <w:szCs w:val="21"/>
          <w:lang w:val="ka-GE"/>
        </w:rPr>
        <w:t>ის გაუმჯობესება</w:t>
      </w:r>
    </w:p>
    <w:p w14:paraId="3F25937D" w14:textId="5034BFFF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r w:rsidR="00D647CA">
        <w:rPr>
          <w:rFonts w:ascii="Sylfaen" w:hAnsi="Sylfaen"/>
          <w:sz w:val="21"/>
          <w:szCs w:val="21"/>
          <w:lang w:val="ka-GE"/>
        </w:rPr>
        <w:t>საზოგადოების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ცნობიერების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ამაღლება</w:t>
      </w:r>
      <w:r w:rsidRPr="00FF5061">
        <w:rPr>
          <w:sz w:val="21"/>
          <w:szCs w:val="21"/>
        </w:rPr>
        <w:t>.</w:t>
      </w:r>
    </w:p>
    <w:p w14:paraId="68D862B2" w14:textId="77777777" w:rsidR="000D10E3" w:rsidRDefault="000D10E3" w:rsidP="003155C0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</w:p>
    <w:p w14:paraId="248F969B" w14:textId="504F2DD7" w:rsidR="000D10E3" w:rsidRDefault="003155C0" w:rsidP="003155C0">
      <w:pPr>
        <w:ind w:right="90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მიზანი</w:t>
      </w:r>
      <w:r w:rsidRPr="00FF5061">
        <w:rPr>
          <w:b/>
          <w:sz w:val="21"/>
          <w:szCs w:val="21"/>
          <w:lang w:val="ka-GE"/>
        </w:rPr>
        <w:t>:</w:t>
      </w:r>
    </w:p>
    <w:p w14:paraId="33917A8C" w14:textId="2C611E45" w:rsidR="003155C0" w:rsidRPr="00F5306C" w:rsidRDefault="00C10D92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ტენდერის მიზანია </w:t>
      </w:r>
      <w:r w:rsidR="00845D5B">
        <w:rPr>
          <w:rFonts w:ascii="Sylfaen" w:hAnsi="Sylfaen" w:cs="Sylfaen"/>
          <w:sz w:val="21"/>
          <w:szCs w:val="21"/>
          <w:lang w:val="ka-GE"/>
        </w:rPr>
        <w:t>ხულოს</w:t>
      </w:r>
      <w:r w:rsidR="00C503DC">
        <w:rPr>
          <w:rFonts w:ascii="Sylfaen" w:hAnsi="Sylfaen" w:cs="Sylfaen"/>
          <w:sz w:val="21"/>
          <w:szCs w:val="21"/>
          <w:lang w:val="ka-GE"/>
        </w:rPr>
        <w:t xml:space="preserve"> მუნიციპალიტეტის </w:t>
      </w:r>
      <w:r>
        <w:rPr>
          <w:rFonts w:ascii="Sylfaen" w:hAnsi="Sylfaen" w:cs="Sylfaen"/>
          <w:sz w:val="21"/>
          <w:szCs w:val="21"/>
          <w:lang w:val="ka-GE"/>
        </w:rPr>
        <w:t xml:space="preserve">სოფლებში: </w:t>
      </w:r>
      <w:r w:rsidR="00845D5B">
        <w:rPr>
          <w:rFonts w:ascii="Sylfaen" w:hAnsi="Sylfaen" w:cs="Sylfaen"/>
          <w:sz w:val="21"/>
          <w:szCs w:val="21"/>
          <w:lang w:val="ka-GE"/>
        </w:rPr>
        <w:t>ირემაძეები და ტაბახმელა</w:t>
      </w:r>
      <w:r>
        <w:rPr>
          <w:rFonts w:ascii="Sylfaen" w:hAnsi="Sylfaen" w:cs="Sylfaen"/>
          <w:sz w:val="21"/>
          <w:szCs w:val="21"/>
          <w:lang w:val="ka-GE"/>
        </w:rPr>
        <w:t xml:space="preserve"> არალეგალური ნაგავაყრელების დახურვა და დახურვის ფარგლებში შემდეგი სამუშაოების განხორციელება:</w:t>
      </w:r>
    </w:p>
    <w:p w14:paraId="21FF6C9B" w14:textId="77777777" w:rsidR="00A37381" w:rsidRPr="00A37381" w:rsidRDefault="00A37381" w:rsidP="00A373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A37381">
        <w:rPr>
          <w:rFonts w:ascii="Sylfaen" w:hAnsi="Sylfaen"/>
          <w:sz w:val="21"/>
          <w:szCs w:val="21"/>
          <w:lang w:val="ka-GE"/>
        </w:rPr>
        <w:t>არალეგალურ ნაგავსაყრელზე არსებული ნარჩენების ხელით დამუშავება (I კატ. გრუნტის);</w:t>
      </w:r>
    </w:p>
    <w:p w14:paraId="5EF64282" w14:textId="77777777" w:rsidR="00A37381" w:rsidRPr="00A37381" w:rsidRDefault="00A37381" w:rsidP="00A373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A37381">
        <w:rPr>
          <w:rFonts w:ascii="Sylfaen" w:hAnsi="Sylfaen"/>
          <w:sz w:val="21"/>
          <w:szCs w:val="21"/>
          <w:lang w:val="ka-GE"/>
        </w:rPr>
        <w:lastRenderedPageBreak/>
        <w:t>არალეგალური ნაგავსაყრელის ტერიტორიის საბოლოო, დამატებითი გაწმენდა წვრილი ფრაქციის ნარჩენებისაგან, ხელით (პ.1-ით გათვალისწინებული ნარჩენების მასის გამოტანის შემდეგ);</w:t>
      </w:r>
    </w:p>
    <w:p w14:paraId="28626B04" w14:textId="77777777" w:rsidR="00A37381" w:rsidRPr="00A37381" w:rsidRDefault="00A37381" w:rsidP="00A373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A37381">
        <w:rPr>
          <w:rFonts w:ascii="Sylfaen" w:hAnsi="Sylfaen"/>
          <w:sz w:val="21"/>
          <w:szCs w:val="21"/>
          <w:lang w:val="ka-GE"/>
        </w:rPr>
        <w:t>ნარჩენების გადატანა ხელის საზიდარებით, 30მ მანძილზე, ნაგავსაყრელის ფარგლებში, გროვებში განთავსებით, შემდგომი დატვირთვისათვის;</w:t>
      </w:r>
    </w:p>
    <w:p w14:paraId="5F0B02FE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A37381">
        <w:rPr>
          <w:rFonts w:ascii="Sylfaen" w:hAnsi="Sylfaen"/>
          <w:sz w:val="21"/>
          <w:szCs w:val="21"/>
          <w:lang w:val="ka-GE"/>
        </w:rPr>
        <w:t>გროვებში განთავსებული ნარჩენების (I კატ. გრუნტი) დამუშავება და დატვირთვა ნაგავსაყრელზე ავტოთვითმცლელებზე, ექსკავატორით პნევმო-სვლაზე (ჩამჩის მოც. 0,15კუბ.მ.)</w:t>
      </w:r>
    </w:p>
    <w:p w14:paraId="352DAF9F" w14:textId="77777777" w:rsidR="00A37381" w:rsidRDefault="00A37381" w:rsidP="00A37381">
      <w:pPr>
        <w:pStyle w:val="ListParagraph"/>
        <w:ind w:right="90"/>
        <w:rPr>
          <w:rFonts w:ascii="Sylfaen" w:hAnsi="Sylfaen" w:cs="Sylfaen"/>
          <w:sz w:val="21"/>
          <w:szCs w:val="21"/>
          <w:lang w:val="ka-GE"/>
        </w:rPr>
      </w:pPr>
    </w:p>
    <w:p w14:paraId="12F7DF45" w14:textId="49803BF3" w:rsidR="00472930" w:rsidRPr="00A37381" w:rsidRDefault="00C10D92" w:rsidP="00A37381">
      <w:pPr>
        <w:pStyle w:val="ListParagraph"/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A37381">
        <w:rPr>
          <w:rFonts w:ascii="Sylfaen" w:hAnsi="Sylfaen" w:cs="Sylfaen"/>
          <w:b/>
          <w:sz w:val="21"/>
          <w:szCs w:val="21"/>
          <w:lang w:val="ka-GE"/>
        </w:rPr>
        <w:t>წარდგენილი ძირითადი მოთხოვნები:</w:t>
      </w:r>
    </w:p>
    <w:p w14:paraId="05F207BC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კარგად ხილვადი ნიშნის დამონტაჟება ნაგავსაყრელის მიმდებარე ტერიტორიაზე, სადაც მითითებული იქნება კონტრაქტორი, სამუშაოების განმახორციელებელი კომპანიის საკონტაქტო ინფორმაცია, რომლითაც დაინტერესებული პირი შეძლებს კითხვების შემთხვევაში კომპანიასთან დაკავშირებას;</w:t>
      </w:r>
    </w:p>
    <w:p w14:paraId="311F781C" w14:textId="2E774062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სამუშაო ადგილზე პერსონალის უსაფრთხოების წესების დაცვა (მათ შორის სამუშაოების დაწყებამდე მუშებისათ</w:t>
      </w:r>
      <w:r w:rsidR="00D27A52">
        <w:rPr>
          <w:rFonts w:ascii="Sylfaen" w:hAnsi="Sylfaen" w:cs="Sylfaen"/>
          <w:sz w:val="21"/>
          <w:szCs w:val="21"/>
          <w:lang w:val="ka-GE"/>
        </w:rPr>
        <w:t>ვ</w:t>
      </w:r>
      <w:r w:rsidRPr="00A37381">
        <w:rPr>
          <w:rFonts w:ascii="Sylfaen" w:hAnsi="Sylfaen" w:cs="Sylfaen"/>
          <w:sz w:val="21"/>
          <w:szCs w:val="21"/>
          <w:lang w:val="ka-GE"/>
        </w:rPr>
        <w:t>ის უსაფრთხოების ბრიფინგის ჩატარება, (მათ შორის ძირითადი წესების შესახებ, მაგ. ობიექტზე მოწევის ან ჭამის შეზღუდვა, ხელის დაბანა ან ხელის სადეზინფეციო ხსნარის გამოყენება სამუშაოს შემდეგ), ბრიფინგი მოულოდნელი ნარჩენების აღმოჩენის პროცედურების შესახებ</w:t>
      </w:r>
      <w:r w:rsidRPr="00A37381">
        <w:rPr>
          <w:rFonts w:cs="Sylfaen"/>
          <w:sz w:val="21"/>
          <w:szCs w:val="21"/>
        </w:rPr>
        <w:footnoteReference w:id="1"/>
      </w:r>
      <w:r w:rsidRPr="00A37381">
        <w:rPr>
          <w:rFonts w:ascii="Sylfaen" w:hAnsi="Sylfaen" w:cs="Sylfaen"/>
          <w:sz w:val="21"/>
          <w:szCs w:val="21"/>
          <w:lang w:val="ka-GE"/>
        </w:rPr>
        <w:t>, პერსონალის აღჭურვა სპეცტანსაცმლით და უსაფრთხოების დაცვის ინდივიდუალური საშუალებებით, მათ შორის ნიღბები, სათვალეები, ტყავისხელთათმანები, l კატეგორიის ტყავის ფეხსაცმელი (ფეხების დასაცავად);</w:t>
      </w:r>
    </w:p>
    <w:p w14:paraId="1F4FA895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უზრუნველყოს ნარჩენების შეგროვების დროს მწვანე ნარგავების დაზიანების პრევენცია;</w:t>
      </w:r>
    </w:p>
    <w:p w14:paraId="4E0330DF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 xml:space="preserve">დროებითი გადამზიდი სადგურის ბადით შემოღობვა, სამუშაოების დასრულების შემდეგ გადამზიდი სადგურისთვის მოწყობილი ტერიტორიის აღდგენა გრუნტის და ნიადაგის ზედაფენის დამუშავება-დასუფთავების გზით; </w:t>
      </w:r>
    </w:p>
    <w:p w14:paraId="6B76C58F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სატვირთო მანქანების ბრეზენტით გადახურვა მათი მოძრაობისას;</w:t>
      </w:r>
    </w:p>
    <w:p w14:paraId="2FEDB908" w14:textId="77777777" w:rsidR="00D27A52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ტრანსპორტირებასთან დაკავშირებული სამუშაოების შეზღუდვა დღის სამუშაო საათებით</w:t>
      </w:r>
      <w:r w:rsidR="00D27A52">
        <w:rPr>
          <w:rFonts w:ascii="Sylfaen" w:hAnsi="Sylfaen" w:cs="Sylfaen"/>
          <w:sz w:val="21"/>
          <w:szCs w:val="21"/>
          <w:lang w:val="ka-GE"/>
        </w:rPr>
        <w:t xml:space="preserve"> </w:t>
      </w:r>
    </w:p>
    <w:p w14:paraId="4685E407" w14:textId="2F528D8B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ობიექტზე შემავალი ყველა სატრანსპორტო საშ</w:t>
      </w:r>
      <w:r w:rsidR="00D27A52">
        <w:rPr>
          <w:rFonts w:ascii="Sylfaen" w:hAnsi="Sylfaen" w:cs="Sylfaen"/>
          <w:sz w:val="21"/>
          <w:szCs w:val="21"/>
          <w:lang w:val="ka-GE"/>
        </w:rPr>
        <w:t>უ</w:t>
      </w:r>
      <w:r w:rsidRPr="00A37381">
        <w:rPr>
          <w:rFonts w:ascii="Sylfaen" w:hAnsi="Sylfaen" w:cs="Sylfaen"/>
          <w:sz w:val="21"/>
          <w:szCs w:val="21"/>
          <w:lang w:val="ka-GE"/>
        </w:rPr>
        <w:t>ალებისთვის არაასფალტირებულ გზებზე გადაადგილების სიჩქარის შეზღუდვა 24 კმ/სთ–მდე ;</w:t>
      </w:r>
    </w:p>
    <w:p w14:paraId="1989BBBC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 xml:space="preserve">გზაზე მტვრის წარმოშობის პრევენციის ხერხების გამოყენება (მაგალითად, წყლის გამოყენება, ობიექტზე წყლის მოსხურება); </w:t>
      </w:r>
    </w:p>
    <w:p w14:paraId="53F3D0F2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lastRenderedPageBreak/>
        <w:t>გამოყენებული იქნეს ლიცენზირებული, დაზღვეული და ნებართვის მქონე სატრანსპორტო საშუალებები, ეროვნული კანონმდებლობის მოთხოვნების შესაბამისად;</w:t>
      </w:r>
    </w:p>
    <w:p w14:paraId="4BA3AFDA" w14:textId="77777777" w:rsidR="00A37381" w:rsidRPr="00A37381" w:rsidRDefault="00A37381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A37381">
        <w:rPr>
          <w:rFonts w:ascii="Sylfaen" w:hAnsi="Sylfaen" w:cs="Sylfaen"/>
          <w:sz w:val="21"/>
          <w:szCs w:val="21"/>
          <w:lang w:val="ka-GE"/>
        </w:rPr>
        <w:t>გამოყენებული იქნეს გამართული სატრანსპორტო საშუალებები. ასევე მოხდეს მათი ტექნიკური მომსახურება მწარმოებლების რეკომენდაციების შესაბამისად (ზეთების დაღვრის პრევენცია).</w:t>
      </w:r>
    </w:p>
    <w:p w14:paraId="15C6F2F0" w14:textId="20F7A41A" w:rsidR="00472930" w:rsidRDefault="00C10D92" w:rsidP="00A37381">
      <w:pPr>
        <w:pStyle w:val="ListParagraph"/>
        <w:numPr>
          <w:ilvl w:val="0"/>
          <w:numId w:val="20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სამუშაო პროცესის მიმდინარეობის ხარისხის შეფასებისათვის ფოტო</w:t>
      </w:r>
      <w:r w:rsidR="00A37381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472930">
        <w:rPr>
          <w:rFonts w:ascii="Sylfaen" w:hAnsi="Sylfaen" w:cs="Sylfaen"/>
          <w:sz w:val="21"/>
          <w:szCs w:val="21"/>
          <w:lang w:val="ka-GE"/>
        </w:rPr>
        <w:t>გადაღება</w:t>
      </w:r>
      <w:r w:rsidR="00472930" w:rsidRPr="00472930">
        <w:rPr>
          <w:rFonts w:ascii="Sylfaen" w:hAnsi="Sylfaen" w:cs="Sylfaen"/>
          <w:sz w:val="21"/>
          <w:szCs w:val="21"/>
          <w:lang w:val="ka-GE"/>
        </w:rPr>
        <w:t xml:space="preserve"> და სამუშაოს დასრულების შემდგომ ანგარიშის წარმოდგენა</w:t>
      </w:r>
      <w:r w:rsidRPr="00472930">
        <w:rPr>
          <w:rFonts w:ascii="Sylfaen" w:hAnsi="Sylfaen" w:cs="Sylfaen"/>
          <w:sz w:val="21"/>
          <w:szCs w:val="21"/>
          <w:lang w:val="ka-GE"/>
        </w:rPr>
        <w:t>;</w:t>
      </w:r>
    </w:p>
    <w:p w14:paraId="7B932355" w14:textId="0FD4D2FD" w:rsidR="003155C0" w:rsidRPr="00A37381" w:rsidRDefault="00C10D92" w:rsidP="00A37381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/>
          <w:sz w:val="24"/>
          <w:lang w:val="ka-GE"/>
        </w:rPr>
      </w:pPr>
      <w:r w:rsidRPr="00472930">
        <w:rPr>
          <w:rFonts w:ascii="Sylfaen" w:hAnsi="Sylfaen" w:cs="Sylfaen"/>
          <w:sz w:val="21"/>
          <w:szCs w:val="21"/>
          <w:lang w:val="ka-GE"/>
        </w:rPr>
        <w:t>სატრანსპორტო საშუალების, მათ შორის მაღალი გამავლობის ავტოთვითმცლელების და პნევმოთვლიანი ექსკავატორების (ჩამჩის მოცულობით 0,15 კუბ.მ.) არსებობა.</w:t>
      </w:r>
      <w:r w:rsidRPr="00472930">
        <w:rPr>
          <w:rFonts w:cs="Sylfaen"/>
          <w:sz w:val="21"/>
          <w:szCs w:val="21"/>
          <w:lang w:val="ka-GE"/>
        </w:rPr>
        <w:t> </w:t>
      </w:r>
      <w:r w:rsidRPr="00472930">
        <w:rPr>
          <w:rFonts w:ascii="Sylfaen" w:hAnsi="Sylfaen" w:cs="Sylfaen"/>
          <w:sz w:val="21"/>
          <w:szCs w:val="21"/>
          <w:lang w:val="ka-GE"/>
        </w:rPr>
        <w:br/>
      </w:r>
    </w:p>
    <w:p w14:paraId="070C3B74" w14:textId="7EB1DC9A" w:rsidR="003155C0" w:rsidRPr="00FF5061" w:rsidRDefault="00472930" w:rsidP="00733D63">
      <w:pPr>
        <w:pStyle w:val="ListParagraph"/>
        <w:ind w:left="0" w:right="90"/>
        <w:rPr>
          <w:b/>
          <w:sz w:val="21"/>
          <w:szCs w:val="21"/>
          <w:lang w:val="ka-GE"/>
        </w:rPr>
      </w:pPr>
      <w:r w:rsidRPr="00472930">
        <w:rPr>
          <w:rFonts w:ascii="Sylfaen" w:eastAsiaTheme="minorEastAsia" w:hAnsi="Sylfaen" w:cs="Sylfaen"/>
          <w:sz w:val="21"/>
          <w:szCs w:val="21"/>
          <w:lang w:val="ka-GE"/>
        </w:rPr>
        <w:t xml:space="preserve">სრული ინფორმაციისთვის იხილეთ </w:t>
      </w:r>
      <w:r w:rsidR="00733D63">
        <w:rPr>
          <w:rFonts w:ascii="Sylfaen" w:eastAsiaTheme="minorEastAsia" w:hAnsi="Sylfaen" w:cs="Sylfaen"/>
          <w:sz w:val="21"/>
          <w:szCs w:val="21"/>
          <w:lang w:val="ka-GE"/>
        </w:rPr>
        <w:t xml:space="preserve">თანდართული </w:t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t>დანართები</w:t>
      </w:r>
      <w:r w:rsidR="00733D63">
        <w:rPr>
          <w:rFonts w:ascii="Sylfaen" w:eastAsiaTheme="minorEastAsia" w:hAnsi="Sylfaen" w:cs="Sylfaen"/>
          <w:sz w:val="21"/>
          <w:szCs w:val="21"/>
          <w:lang w:val="ka-GE"/>
        </w:rPr>
        <w:t>.</w:t>
      </w:r>
      <w:r w:rsidRPr="00F52424">
        <w:rPr>
          <w:rFonts w:ascii="Sylfaen" w:eastAsiaTheme="minorEastAsia" w:hAnsi="Sylfaen" w:cs="Sylfaen"/>
          <w:sz w:val="21"/>
          <w:szCs w:val="21"/>
          <w:lang w:val="ka-GE"/>
        </w:rPr>
        <w:t> </w:t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br/>
      </w:r>
      <w:r w:rsidRPr="00472930">
        <w:rPr>
          <w:rFonts w:ascii="Sylfaen" w:eastAsiaTheme="minorEastAsia" w:hAnsi="Sylfaen" w:cs="Sylfaen"/>
          <w:sz w:val="21"/>
          <w:szCs w:val="21"/>
          <w:lang w:val="ka-GE"/>
        </w:rPr>
        <w:br/>
      </w:r>
      <w:r w:rsidR="003155C0" w:rsidRPr="00FF5061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="003155C0" w:rsidRPr="00FF5061">
        <w:rPr>
          <w:b/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="003155C0" w:rsidRPr="00FF5061">
        <w:rPr>
          <w:b/>
          <w:sz w:val="21"/>
          <w:szCs w:val="21"/>
          <w:lang w:val="ka-GE"/>
        </w:rPr>
        <w:t xml:space="preserve">: </w:t>
      </w:r>
    </w:p>
    <w:p w14:paraId="7B517D58" w14:textId="77777777" w:rsidR="003155C0" w:rsidRPr="00FF5061" w:rsidRDefault="003155C0" w:rsidP="003155C0">
      <w:pPr>
        <w:ind w:right="90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პირებს</w:t>
      </w:r>
      <w:r w:rsidRPr="00FF5061">
        <w:rPr>
          <w:sz w:val="21"/>
          <w:szCs w:val="21"/>
          <w:lang w:val="ka-GE"/>
        </w:rPr>
        <w:t xml:space="preserve">. </w:t>
      </w:r>
    </w:p>
    <w:p w14:paraId="7C66E462" w14:textId="77777777" w:rsidR="00F82BE7" w:rsidRPr="00F82BE7" w:rsidRDefault="00C10D92" w:rsidP="00F82BE7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F82BE7">
        <w:rPr>
          <w:rFonts w:ascii="Sylfaen" w:hAnsi="Sylfaen" w:cs="Sylfaen"/>
          <w:b/>
          <w:sz w:val="21"/>
          <w:szCs w:val="21"/>
          <w:lang w:val="ka-GE"/>
        </w:rPr>
        <w:t>სატენდერო წინადადება უნდა შეიცავდეს შემდეგ ინფორმაციას:</w:t>
      </w:r>
    </w:p>
    <w:p w14:paraId="3588273A" w14:textId="77777777" w:rsidR="00F82BE7" w:rsidRDefault="00F82BE7" w:rsidP="00F82BE7">
      <w:pPr>
        <w:pStyle w:val="ListParagraph"/>
        <w:ind w:right="90"/>
        <w:rPr>
          <w:rFonts w:ascii="Sylfaen" w:hAnsi="Sylfaen" w:cs="Sylfaen"/>
          <w:b/>
          <w:sz w:val="21"/>
          <w:szCs w:val="21"/>
          <w:u w:val="single"/>
          <w:lang w:val="ka-GE"/>
        </w:rPr>
      </w:pPr>
    </w:p>
    <w:p w14:paraId="6D4A7A92" w14:textId="77777777" w:rsid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კომპანიის დასახელება, მისამართი, საკონტაქტო ტელეფონი, საკონტაქტო პირი;</w:t>
      </w:r>
    </w:p>
    <w:p w14:paraId="135BDFE3" w14:textId="5B84FCFE" w:rsidR="00C10D92" w:rsidRP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შესასრულებელი სამუშაოს ხარჯთაღრიცხვა (</w:t>
      </w:r>
      <w:r w:rsidR="00733D63" w:rsidRPr="00733D63">
        <w:rPr>
          <w:rFonts w:ascii="Sylfaen" w:hAnsi="Sylfaen" w:cs="Sylfaen"/>
          <w:sz w:val="21"/>
          <w:szCs w:val="21"/>
          <w:lang w:val="ka-GE"/>
        </w:rPr>
        <w:t>თანდართული დანართების ფორმ</w:t>
      </w:r>
      <w:r w:rsidR="00A37381">
        <w:rPr>
          <w:rFonts w:ascii="Sylfaen" w:hAnsi="Sylfaen" w:cs="Sylfaen"/>
          <w:sz w:val="21"/>
          <w:szCs w:val="21"/>
          <w:lang w:val="ka-GE"/>
        </w:rPr>
        <w:t>ებ</w:t>
      </w:r>
      <w:r w:rsidR="00733D63" w:rsidRPr="00733D63">
        <w:rPr>
          <w:rFonts w:ascii="Sylfaen" w:hAnsi="Sylfaen" w:cs="Sylfaen"/>
          <w:sz w:val="21"/>
          <w:szCs w:val="21"/>
          <w:lang w:val="ka-GE"/>
        </w:rPr>
        <w:t>ში</w:t>
      </w:r>
      <w:r w:rsidRPr="00733D63">
        <w:rPr>
          <w:rFonts w:ascii="Sylfaen" w:hAnsi="Sylfaen" w:cs="Sylfaen"/>
          <w:sz w:val="21"/>
          <w:szCs w:val="21"/>
          <w:lang w:val="ka-GE"/>
        </w:rPr>
        <w:t>);</w:t>
      </w:r>
    </w:p>
    <w:p w14:paraId="35496EE9" w14:textId="77777777" w:rsid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სამუშაოს შესრულებისათვის საჭირო ვადა;</w:t>
      </w:r>
    </w:p>
    <w:p w14:paraId="53B40F94" w14:textId="5D30AD98" w:rsidR="00733D63" w:rsidRPr="00733D63" w:rsidRDefault="00C10D92" w:rsidP="00733D63">
      <w:pPr>
        <w:pStyle w:val="ListParagraph"/>
        <w:numPr>
          <w:ilvl w:val="0"/>
          <w:numId w:val="18"/>
        </w:num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განხორციელებული პროექტების ჩამონათვალი;</w:t>
      </w:r>
    </w:p>
    <w:p w14:paraId="1D3A5DB2" w14:textId="2D1383BC" w:rsidR="000D10E3" w:rsidRDefault="00D27A52" w:rsidP="000D10E3">
      <w:pPr>
        <w:pStyle w:val="ListParagraph"/>
        <w:numPr>
          <w:ilvl w:val="0"/>
          <w:numId w:val="18"/>
        </w:numPr>
        <w:ind w:left="36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განახლებული </w:t>
      </w:r>
      <w:r w:rsidR="00C10D92" w:rsidRPr="00733D63">
        <w:rPr>
          <w:rFonts w:ascii="Sylfaen" w:hAnsi="Sylfaen" w:cs="Sylfaen"/>
          <w:sz w:val="21"/>
          <w:szCs w:val="21"/>
          <w:lang w:val="ka-GE"/>
        </w:rPr>
        <w:t>ამონაწერი მეწარმეთა და არასაწარმ</w:t>
      </w:r>
      <w:r w:rsidR="00A37381">
        <w:rPr>
          <w:rFonts w:ascii="Sylfaen" w:hAnsi="Sylfaen" w:cs="Sylfaen"/>
          <w:sz w:val="21"/>
          <w:szCs w:val="21"/>
          <w:lang w:val="ka-GE"/>
        </w:rPr>
        <w:t>ე</w:t>
      </w:r>
      <w:r w:rsidR="00C10D92" w:rsidRPr="00733D63">
        <w:rPr>
          <w:rFonts w:ascii="Sylfaen" w:hAnsi="Sylfaen" w:cs="Sylfaen"/>
          <w:sz w:val="21"/>
          <w:szCs w:val="21"/>
          <w:lang w:val="ka-GE"/>
        </w:rPr>
        <w:t>ო (არაკომერციული) იურიდიულ პირთა რეესტრიდან, რომელიც ადასტურებს, რომ პრეტენდენტის ქონებაზე არ არის რეგისტრირებული ყადაღა/აკრძალვა, საგადასახადო გირავნობა/იპოთეკა და არ არის რეგისტრირებული მოვალეთა რეესტრში.</w:t>
      </w:r>
      <w:r w:rsidR="00C10D92" w:rsidRPr="00733D63">
        <w:rPr>
          <w:rFonts w:cs="Sylfaen"/>
          <w:sz w:val="21"/>
          <w:szCs w:val="21"/>
          <w:lang w:val="ka-GE"/>
        </w:rPr>
        <w:t> </w:t>
      </w:r>
      <w:r w:rsidR="00C10D92" w:rsidRPr="00733D63">
        <w:rPr>
          <w:rFonts w:ascii="Sylfaen" w:hAnsi="Sylfaen" w:cs="Sylfaen"/>
          <w:sz w:val="21"/>
          <w:szCs w:val="21"/>
          <w:lang w:val="ka-GE"/>
        </w:rPr>
        <w:br/>
      </w:r>
      <w:r w:rsidR="00C10D92" w:rsidRPr="00733D63">
        <w:rPr>
          <w:rFonts w:ascii="Sylfaen" w:hAnsi="Sylfaen" w:cs="Sylfaen"/>
          <w:sz w:val="21"/>
          <w:szCs w:val="21"/>
          <w:lang w:val="ka-GE"/>
        </w:rPr>
        <w:br/>
      </w:r>
    </w:p>
    <w:p w14:paraId="19749664" w14:textId="5C723158" w:rsidR="00733D63" w:rsidRPr="000D10E3" w:rsidRDefault="00C10D92" w:rsidP="000D10E3">
      <w:pPr>
        <w:pStyle w:val="ListParagraph"/>
        <w:ind w:left="360"/>
        <w:rPr>
          <w:rFonts w:ascii="Sylfaen" w:hAnsi="Sylfaen" w:cs="Sylfaen"/>
          <w:sz w:val="21"/>
          <w:szCs w:val="21"/>
          <w:lang w:val="ka-GE"/>
        </w:rPr>
      </w:pPr>
      <w:r w:rsidRPr="000D10E3">
        <w:rPr>
          <w:rFonts w:ascii="Sylfaen" w:hAnsi="Sylfaen" w:cs="Sylfaen"/>
          <w:sz w:val="21"/>
          <w:szCs w:val="21"/>
          <w:lang w:val="ka-GE"/>
        </w:rPr>
        <w:t>დაინტერესებულმა პირებმა სატენდერო წინადადება უნდა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0D10E3" w:rsidRPr="000D10E3">
        <w:rPr>
          <w:rFonts w:ascii="Sylfaen" w:hAnsi="Sylfaen" w:cs="Sylfaen"/>
          <w:sz w:val="21"/>
          <w:szCs w:val="21"/>
          <w:lang w:val="ka-GE"/>
        </w:rPr>
        <w:t xml:space="preserve">გამოაგზავნონ ელექტრონულ მისამართზე </w:t>
      </w:r>
      <w:hyperlink r:id="rId9" w:history="1">
        <w:r w:rsidR="000D10E3" w:rsidRPr="000D10E3">
          <w:rPr>
            <w:rFonts w:cs="Sylfaen"/>
            <w:sz w:val="21"/>
            <w:szCs w:val="21"/>
            <w:lang w:val="ka-GE"/>
          </w:rPr>
          <w:t>shorena.ebanoidze@cenn.org</w:t>
        </w:r>
      </w:hyperlink>
      <w:r w:rsidRPr="000D10E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ან </w:t>
      </w:r>
      <w:r w:rsidRPr="000D10E3">
        <w:rPr>
          <w:rFonts w:ascii="Sylfaen" w:hAnsi="Sylfaen" w:cs="Sylfaen"/>
          <w:sz w:val="21"/>
          <w:szCs w:val="21"/>
          <w:lang w:val="ka-GE"/>
        </w:rPr>
        <w:t>წარმოადგინონ ასოციაცია CENN-ის ოფისში, მისამართზე: ქ. თბილისი, ბეთლემის ქუჩა</w:t>
      </w:r>
      <w:r w:rsidR="000D10E3">
        <w:rPr>
          <w:rFonts w:ascii="Sylfaen" w:hAnsi="Sylfaen" w:cs="Sylfaen"/>
          <w:sz w:val="21"/>
          <w:szCs w:val="21"/>
          <w:lang w:val="ka-GE"/>
        </w:rPr>
        <w:t xml:space="preserve"> 27, </w:t>
      </w:r>
      <w:r w:rsidR="000D10E3" w:rsidRPr="000D10E3">
        <w:rPr>
          <w:rFonts w:ascii="Sylfaen" w:hAnsi="Sylfaen" w:cs="Sylfaen"/>
          <w:sz w:val="21"/>
          <w:szCs w:val="21"/>
          <w:lang w:val="ka-GE"/>
        </w:rPr>
        <w:t>201</w:t>
      </w:r>
      <w:r w:rsidR="00A56243">
        <w:rPr>
          <w:rFonts w:ascii="Sylfaen" w:hAnsi="Sylfaen" w:cs="Sylfaen"/>
          <w:sz w:val="21"/>
          <w:szCs w:val="21"/>
          <w:lang w:val="ka-GE"/>
        </w:rPr>
        <w:t>8</w:t>
      </w:r>
      <w:r w:rsidR="000D10E3" w:rsidRPr="000D10E3">
        <w:rPr>
          <w:rFonts w:ascii="Sylfaen" w:hAnsi="Sylfaen" w:cs="Sylfaen"/>
          <w:sz w:val="21"/>
          <w:szCs w:val="21"/>
          <w:lang w:val="ka-GE"/>
        </w:rPr>
        <w:t xml:space="preserve"> წლის </w:t>
      </w:r>
      <w:r w:rsidR="001733CE">
        <w:rPr>
          <w:rFonts w:ascii="Sylfaen" w:hAnsi="Sylfaen" w:cs="Sylfaen"/>
          <w:sz w:val="21"/>
          <w:szCs w:val="21"/>
          <w:lang w:val="en-US"/>
        </w:rPr>
        <w:t>11 მაისის</w:t>
      </w:r>
      <w:bookmarkStart w:id="0" w:name="_GoBack"/>
      <w:bookmarkEnd w:id="0"/>
      <w:r w:rsidR="000D10E3" w:rsidRPr="000D10E3">
        <w:rPr>
          <w:rFonts w:ascii="Sylfaen" w:hAnsi="Sylfaen" w:cs="Sylfaen"/>
          <w:sz w:val="21"/>
          <w:szCs w:val="21"/>
          <w:lang w:val="ka-GE"/>
        </w:rPr>
        <w:t xml:space="preserve"> ჩათვლით.</w:t>
      </w:r>
      <w:r w:rsidR="000D10E3" w:rsidRPr="000D10E3">
        <w:rPr>
          <w:rFonts w:cs="Sylfaen"/>
          <w:sz w:val="21"/>
          <w:szCs w:val="21"/>
          <w:lang w:val="ka-GE"/>
        </w:rPr>
        <w:t> </w:t>
      </w:r>
      <w:r w:rsidRPr="000D10E3">
        <w:rPr>
          <w:rFonts w:cs="Sylfaen"/>
          <w:sz w:val="21"/>
          <w:szCs w:val="21"/>
          <w:lang w:val="ka-GE"/>
        </w:rPr>
        <w:t> </w:t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sz w:val="21"/>
          <w:szCs w:val="21"/>
          <w:lang w:val="ka-GE"/>
        </w:rPr>
        <w:lastRenderedPageBreak/>
        <w:br/>
        <w:t>არასრულყოფილად წარმოდგენილი დოკუმენტაციის შემთხვევაში თქვენი შემოთავაზება არ განიხილება.</w:t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sz w:val="21"/>
          <w:szCs w:val="21"/>
          <w:lang w:val="ka-GE"/>
        </w:rPr>
        <w:br/>
      </w:r>
      <w:r w:rsidRPr="000D10E3">
        <w:rPr>
          <w:rFonts w:ascii="Sylfaen" w:hAnsi="Sylfaen" w:cs="Sylfaen"/>
          <w:b/>
          <w:sz w:val="21"/>
          <w:szCs w:val="21"/>
          <w:lang w:val="ka-GE"/>
        </w:rPr>
        <w:t>სატენდერო განაცხადის შეფასების კრიტერიუმები იქნება</w:t>
      </w:r>
      <w:r w:rsidR="00733D63" w:rsidRPr="000D10E3">
        <w:rPr>
          <w:rFonts w:ascii="Sylfaen" w:hAnsi="Sylfaen" w:cs="Sylfaen"/>
          <w:b/>
          <w:sz w:val="21"/>
          <w:szCs w:val="21"/>
          <w:lang w:val="ka-GE"/>
        </w:rPr>
        <w:t>:</w:t>
      </w:r>
    </w:p>
    <w:p w14:paraId="18BD1C3C" w14:textId="77777777" w:rsidR="00733D63" w:rsidRDefault="00733D63" w:rsidP="00733D63">
      <w:pPr>
        <w:pStyle w:val="ListParagraph"/>
        <w:ind w:right="90"/>
        <w:rPr>
          <w:rFonts w:ascii="Sylfaen" w:hAnsi="Sylfaen" w:cs="Sylfaen"/>
          <w:sz w:val="21"/>
          <w:szCs w:val="21"/>
          <w:lang w:val="ka-GE"/>
        </w:rPr>
      </w:pPr>
    </w:p>
    <w:p w14:paraId="66D204AD" w14:textId="77777777" w:rsid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მომსახურების ფასი;</w:t>
      </w:r>
    </w:p>
    <w:p w14:paraId="50305356" w14:textId="77777777" w:rsid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მომსახურების დრო;</w:t>
      </w:r>
    </w:p>
    <w:p w14:paraId="13ECF915" w14:textId="026E90E6" w:rsidR="00733D63" w:rsidRPr="00733D63" w:rsidRDefault="00C10D92" w:rsidP="00733D63">
      <w:pPr>
        <w:pStyle w:val="ListParagraph"/>
        <w:numPr>
          <w:ilvl w:val="0"/>
          <w:numId w:val="18"/>
        </w:numPr>
        <w:ind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შესაბამისი კუთხით მუშაობის გამოცდილება</w:t>
      </w:r>
      <w:r w:rsidR="00733D63" w:rsidRPr="00733D63">
        <w:rPr>
          <w:rFonts w:ascii="Sylfaen" w:hAnsi="Sylfaen" w:cs="Sylfaen"/>
          <w:sz w:val="21"/>
          <w:szCs w:val="21"/>
          <w:lang w:val="ka-GE"/>
        </w:rPr>
        <w:t>.</w:t>
      </w:r>
    </w:p>
    <w:p w14:paraId="486078F6" w14:textId="051C4ABA" w:rsidR="003155C0" w:rsidRPr="00733D63" w:rsidRDefault="003155C0" w:rsidP="00733D63">
      <w:pPr>
        <w:ind w:left="360" w:right="90"/>
        <w:rPr>
          <w:rFonts w:ascii="Sylfaen" w:hAnsi="Sylfaen" w:cs="Sylfaen"/>
          <w:sz w:val="21"/>
          <w:szCs w:val="21"/>
          <w:lang w:val="ka-GE"/>
        </w:rPr>
      </w:pPr>
      <w:r w:rsidRPr="00733D63">
        <w:rPr>
          <w:rFonts w:ascii="Sylfaen" w:hAnsi="Sylfaen" w:cs="Sylfaen"/>
          <w:sz w:val="21"/>
          <w:szCs w:val="21"/>
          <w:lang w:val="ka-GE"/>
        </w:rPr>
        <w:t>დაკავშირება მოხდება მხოლოდ შერჩეულ კომპანიასთან.</w:t>
      </w:r>
    </w:p>
    <w:p w14:paraId="65EA2B9D" w14:textId="422F5B8D" w:rsidR="00432479" w:rsidRPr="00F82BE7" w:rsidRDefault="00432479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</w:p>
    <w:sectPr w:rsidR="00432479" w:rsidRPr="00F82BE7" w:rsidSect="000D10E3">
      <w:headerReference w:type="default" r:id="rId10"/>
      <w:footerReference w:type="default" r:id="rId11"/>
      <w:pgSz w:w="15840" w:h="12240" w:orient="landscape"/>
      <w:pgMar w:top="864" w:right="1152" w:bottom="864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F9D0" w14:textId="77777777" w:rsidR="00C7507F" w:rsidRDefault="00C7507F" w:rsidP="0002412B">
      <w:pPr>
        <w:spacing w:after="0" w:line="240" w:lineRule="auto"/>
      </w:pPr>
      <w:r>
        <w:separator/>
      </w:r>
    </w:p>
  </w:endnote>
  <w:endnote w:type="continuationSeparator" w:id="0">
    <w:p w14:paraId="63073927" w14:textId="77777777" w:rsidR="00C7507F" w:rsidRDefault="00C7507F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954B" w14:textId="77777777" w:rsidR="00C7507F" w:rsidRDefault="00C7507F" w:rsidP="0002412B">
      <w:pPr>
        <w:spacing w:after="0" w:line="240" w:lineRule="auto"/>
      </w:pPr>
      <w:r>
        <w:separator/>
      </w:r>
    </w:p>
  </w:footnote>
  <w:footnote w:type="continuationSeparator" w:id="0">
    <w:p w14:paraId="3AA1FD7B" w14:textId="77777777" w:rsidR="00C7507F" w:rsidRDefault="00C7507F" w:rsidP="0002412B">
      <w:pPr>
        <w:spacing w:after="0" w:line="240" w:lineRule="auto"/>
      </w:pPr>
      <w:r>
        <w:continuationSeparator/>
      </w:r>
    </w:p>
  </w:footnote>
  <w:footnote w:id="1">
    <w:p w14:paraId="619E132A" w14:textId="426F78F6" w:rsidR="00A37381" w:rsidRPr="00A37381" w:rsidRDefault="00A37381" w:rsidP="00A37381">
      <w:pPr>
        <w:pStyle w:val="FootnoteText"/>
        <w:jc w:val="both"/>
        <w:rPr>
          <w:rFonts w:ascii="Sylfaen" w:hAnsi="Sylfaen"/>
          <w:lang w:val="ka-GE"/>
        </w:rPr>
      </w:pPr>
      <w:r w:rsidRPr="00A37381">
        <w:rPr>
          <w:rStyle w:val="FootnoteReference"/>
          <w:rFonts w:asciiTheme="minorHAnsi" w:hAnsiTheme="minorHAnsi"/>
        </w:rPr>
        <w:footnoteRef/>
      </w:r>
      <w:r w:rsidRPr="00A37381">
        <w:rPr>
          <w:rFonts w:asciiTheme="minorHAnsi" w:hAnsiTheme="minorHAnsi"/>
        </w:rPr>
        <w:t xml:space="preserve"> </w:t>
      </w:r>
      <w:r w:rsidRPr="00A37381">
        <w:rPr>
          <w:rFonts w:ascii="Sylfaen" w:hAnsi="Sylfaen" w:cs="Sylfaen"/>
          <w:lang w:val="ka-GE"/>
        </w:rPr>
        <w:t>ქიმიური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ნივთიერებების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შემცველი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კონტეინერების</w:t>
      </w:r>
      <w:r w:rsidRPr="00A37381">
        <w:rPr>
          <w:rFonts w:asciiTheme="minorHAnsi" w:hAnsiTheme="minorHAnsi"/>
          <w:lang w:val="ka-GE"/>
        </w:rPr>
        <w:t xml:space="preserve">, </w:t>
      </w:r>
      <w:r w:rsidRPr="00A37381">
        <w:rPr>
          <w:rFonts w:ascii="Sylfaen" w:hAnsi="Sylfaen" w:cs="Sylfaen"/>
          <w:lang w:val="ka-GE"/>
        </w:rPr>
        <w:t>მედიკამენტების</w:t>
      </w:r>
      <w:r w:rsidRPr="00A37381">
        <w:rPr>
          <w:rFonts w:asciiTheme="minorHAnsi" w:hAnsiTheme="minorHAnsi"/>
          <w:lang w:val="ka-GE"/>
        </w:rPr>
        <w:t xml:space="preserve">, </w:t>
      </w:r>
      <w:r w:rsidRPr="00A37381">
        <w:rPr>
          <w:rFonts w:ascii="Sylfaen" w:hAnsi="Sylfaen" w:cs="Sylfaen"/>
          <w:lang w:val="ka-GE"/>
        </w:rPr>
        <w:t>ნემსების</w:t>
      </w:r>
      <w:r w:rsidRPr="00A37381">
        <w:rPr>
          <w:rFonts w:asciiTheme="minorHAnsi" w:hAnsiTheme="minorHAnsi"/>
          <w:lang w:val="ka-GE"/>
        </w:rPr>
        <w:t xml:space="preserve">, </w:t>
      </w:r>
      <w:r w:rsidRPr="00A37381">
        <w:rPr>
          <w:rFonts w:ascii="Sylfaen" w:hAnsi="Sylfaen" w:cs="Sylfaen"/>
          <w:lang w:val="ka-GE"/>
        </w:rPr>
        <w:t>ასბესტის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ფილებისა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და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ა</w:t>
      </w:r>
      <w:r w:rsidRPr="00A37381">
        <w:rPr>
          <w:rFonts w:asciiTheme="minorHAnsi" w:hAnsiTheme="minorHAnsi"/>
          <w:lang w:val="ka-GE"/>
        </w:rPr>
        <w:t>.</w:t>
      </w:r>
      <w:r w:rsidRPr="00A37381">
        <w:rPr>
          <w:rFonts w:ascii="Sylfaen" w:hAnsi="Sylfaen" w:cs="Sylfaen"/>
          <w:lang w:val="ka-GE"/>
        </w:rPr>
        <w:t>შ</w:t>
      </w:r>
      <w:r w:rsidRPr="00A37381">
        <w:rPr>
          <w:rFonts w:asciiTheme="minorHAnsi" w:hAnsiTheme="minorHAnsi"/>
          <w:lang w:val="ka-GE"/>
        </w:rPr>
        <w:t xml:space="preserve">. </w:t>
      </w:r>
      <w:r w:rsidRPr="00A37381">
        <w:rPr>
          <w:rFonts w:ascii="Sylfaen" w:hAnsi="Sylfaen" w:cs="Sylfaen"/>
          <w:lang w:val="ka-GE"/>
        </w:rPr>
        <w:t>აღმოჩენის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შემთხვევაში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მომსახურე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პერსონალმა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დაუყოვნებლივ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უნდა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შეატყობინოს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პროგრამის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მენეჯმენტს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და</w:t>
      </w:r>
      <w:r w:rsidRPr="00A37381">
        <w:rPr>
          <w:rFonts w:asciiTheme="minorHAnsi" w:hAnsiTheme="minorHAnsi"/>
          <w:lang w:val="ka-GE"/>
        </w:rPr>
        <w:t xml:space="preserve"> USAID-</w:t>
      </w:r>
      <w:r w:rsidRPr="00A37381">
        <w:rPr>
          <w:rFonts w:ascii="Sylfaen" w:hAnsi="Sylfaen" w:cs="Sylfaen"/>
          <w:lang w:val="ka-GE"/>
        </w:rPr>
        <w:t>თან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და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საქართველოს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გარემოს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დაცვის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სამინისტროსთან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შეთანხმებით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უნდა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შეირჩეს</w:t>
      </w:r>
      <w:r w:rsidRPr="00A37381">
        <w:rPr>
          <w:rFonts w:asciiTheme="minorHAnsi" w:hAnsiTheme="minorHAnsi"/>
          <w:lang w:val="ka-GE"/>
        </w:rPr>
        <w:t xml:space="preserve">  </w:t>
      </w:r>
      <w:r w:rsidRPr="00A37381">
        <w:rPr>
          <w:rFonts w:ascii="Sylfaen" w:hAnsi="Sylfaen" w:cs="Sylfaen"/>
          <w:lang w:val="ka-GE"/>
        </w:rPr>
        <w:t>ზემოაღნიშნული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ნარჩენების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მართვის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საუკეთესო</w:t>
      </w:r>
      <w:r w:rsidRPr="00A37381">
        <w:rPr>
          <w:rFonts w:asciiTheme="minorHAnsi" w:hAnsiTheme="minorHAnsi"/>
          <w:lang w:val="ka-GE"/>
        </w:rPr>
        <w:t xml:space="preserve"> </w:t>
      </w:r>
      <w:r w:rsidRPr="00A37381">
        <w:rPr>
          <w:rFonts w:ascii="Sylfaen" w:hAnsi="Sylfaen" w:cs="Sylfaen"/>
          <w:lang w:val="ka-GE"/>
        </w:rPr>
        <w:t>გზა</w:t>
      </w:r>
      <w:r>
        <w:rPr>
          <w:rFonts w:asciiTheme="minorHAnsi" w:hAnsiTheme="minorHAnsi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2891"/>
      <w:gridCol w:w="3132"/>
      <w:gridCol w:w="3132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77777777" w:rsidR="00C96AFA" w:rsidRDefault="00C96AFA" w:rsidP="00A04EF6">
          <w:pPr>
            <w:rPr>
              <w:noProof/>
            </w:rPr>
          </w:pPr>
          <w:r w:rsidRPr="00C96AF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C02B444" wp14:editId="6ECA8CE3">
                <wp:simplePos x="0" y="0"/>
                <wp:positionH relativeFrom="margin">
                  <wp:posOffset>554355</wp:posOffset>
                </wp:positionH>
                <wp:positionV relativeFrom="margin">
                  <wp:posOffset>104775</wp:posOffset>
                </wp:positionV>
                <wp:extent cx="1218491" cy="548640"/>
                <wp:effectExtent l="0" t="0" r="1270" b="3810"/>
                <wp:wrapSquare wrapText="bothSides"/>
                <wp:docPr id="1" name="Picture 1" descr="C:\Nino_Tevzadze\CENN\Administrative folder\LOGOS\2011\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Nino_Tevzadze\CENN\Administrative folder\LOGOS\2011\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49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308"/>
    <w:multiLevelType w:val="hybridMultilevel"/>
    <w:tmpl w:val="EF8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75222"/>
    <w:multiLevelType w:val="hybridMultilevel"/>
    <w:tmpl w:val="444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66A8"/>
    <w:multiLevelType w:val="hybridMultilevel"/>
    <w:tmpl w:val="32D8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9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20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3"/>
    <w:rsid w:val="00004768"/>
    <w:rsid w:val="0002019C"/>
    <w:rsid w:val="0002412B"/>
    <w:rsid w:val="00030F2C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10E3"/>
    <w:rsid w:val="000D5CA9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33CE"/>
    <w:rsid w:val="001742C1"/>
    <w:rsid w:val="0018426F"/>
    <w:rsid w:val="0018761D"/>
    <w:rsid w:val="001978DB"/>
    <w:rsid w:val="001A4363"/>
    <w:rsid w:val="001A74F1"/>
    <w:rsid w:val="001C3B3E"/>
    <w:rsid w:val="00202BBB"/>
    <w:rsid w:val="00203491"/>
    <w:rsid w:val="00215EB6"/>
    <w:rsid w:val="00220544"/>
    <w:rsid w:val="002209DC"/>
    <w:rsid w:val="002224E1"/>
    <w:rsid w:val="00223A0D"/>
    <w:rsid w:val="00227BDD"/>
    <w:rsid w:val="00227D54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440F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41F2C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C0036"/>
    <w:rsid w:val="003C67EC"/>
    <w:rsid w:val="003D0AFA"/>
    <w:rsid w:val="003D1827"/>
    <w:rsid w:val="003F0CF9"/>
    <w:rsid w:val="003F4CFB"/>
    <w:rsid w:val="004016F5"/>
    <w:rsid w:val="0040175C"/>
    <w:rsid w:val="004034E5"/>
    <w:rsid w:val="00413E52"/>
    <w:rsid w:val="00432479"/>
    <w:rsid w:val="00435C70"/>
    <w:rsid w:val="00437E8A"/>
    <w:rsid w:val="00452433"/>
    <w:rsid w:val="00453342"/>
    <w:rsid w:val="00472930"/>
    <w:rsid w:val="00476DCB"/>
    <w:rsid w:val="004951A2"/>
    <w:rsid w:val="004D5733"/>
    <w:rsid w:val="004F1B90"/>
    <w:rsid w:val="004F2955"/>
    <w:rsid w:val="004F67FC"/>
    <w:rsid w:val="00512854"/>
    <w:rsid w:val="00520A59"/>
    <w:rsid w:val="00551C15"/>
    <w:rsid w:val="00557280"/>
    <w:rsid w:val="005654E3"/>
    <w:rsid w:val="0057170D"/>
    <w:rsid w:val="0057551E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22DF"/>
    <w:rsid w:val="00640749"/>
    <w:rsid w:val="00653400"/>
    <w:rsid w:val="006651F7"/>
    <w:rsid w:val="0066772E"/>
    <w:rsid w:val="006712B3"/>
    <w:rsid w:val="0067162B"/>
    <w:rsid w:val="00694AE2"/>
    <w:rsid w:val="00696A64"/>
    <w:rsid w:val="006C6982"/>
    <w:rsid w:val="006C7AA7"/>
    <w:rsid w:val="006E0971"/>
    <w:rsid w:val="006E43C6"/>
    <w:rsid w:val="006F4764"/>
    <w:rsid w:val="007219EF"/>
    <w:rsid w:val="00726A2D"/>
    <w:rsid w:val="00733448"/>
    <w:rsid w:val="00733D63"/>
    <w:rsid w:val="0074619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45D5B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1F2"/>
    <w:rsid w:val="00991F45"/>
    <w:rsid w:val="009968C2"/>
    <w:rsid w:val="00997E91"/>
    <w:rsid w:val="009A6AA6"/>
    <w:rsid w:val="009B6773"/>
    <w:rsid w:val="009B7D8F"/>
    <w:rsid w:val="009C6BCA"/>
    <w:rsid w:val="009C7452"/>
    <w:rsid w:val="009D06EC"/>
    <w:rsid w:val="009D58DD"/>
    <w:rsid w:val="009D74F5"/>
    <w:rsid w:val="009D7EBA"/>
    <w:rsid w:val="009E1159"/>
    <w:rsid w:val="009E267F"/>
    <w:rsid w:val="009E3259"/>
    <w:rsid w:val="009F3A5D"/>
    <w:rsid w:val="00A1658A"/>
    <w:rsid w:val="00A17E30"/>
    <w:rsid w:val="00A33118"/>
    <w:rsid w:val="00A37381"/>
    <w:rsid w:val="00A56243"/>
    <w:rsid w:val="00A73F8D"/>
    <w:rsid w:val="00A765AA"/>
    <w:rsid w:val="00AA50B6"/>
    <w:rsid w:val="00AA55E1"/>
    <w:rsid w:val="00AB2FF1"/>
    <w:rsid w:val="00AC224C"/>
    <w:rsid w:val="00AC5F6F"/>
    <w:rsid w:val="00AD5AA6"/>
    <w:rsid w:val="00B07E77"/>
    <w:rsid w:val="00B240A1"/>
    <w:rsid w:val="00B27AD0"/>
    <w:rsid w:val="00B31497"/>
    <w:rsid w:val="00B50158"/>
    <w:rsid w:val="00B502B3"/>
    <w:rsid w:val="00B635B6"/>
    <w:rsid w:val="00B7705A"/>
    <w:rsid w:val="00B84E7C"/>
    <w:rsid w:val="00B91ACA"/>
    <w:rsid w:val="00B94050"/>
    <w:rsid w:val="00B96465"/>
    <w:rsid w:val="00BA4CFB"/>
    <w:rsid w:val="00BD2391"/>
    <w:rsid w:val="00BE3827"/>
    <w:rsid w:val="00BE7366"/>
    <w:rsid w:val="00C02283"/>
    <w:rsid w:val="00C05220"/>
    <w:rsid w:val="00C10D92"/>
    <w:rsid w:val="00C1385D"/>
    <w:rsid w:val="00C14825"/>
    <w:rsid w:val="00C26ADA"/>
    <w:rsid w:val="00C26FFE"/>
    <w:rsid w:val="00C43598"/>
    <w:rsid w:val="00C503DC"/>
    <w:rsid w:val="00C7507F"/>
    <w:rsid w:val="00C8440F"/>
    <w:rsid w:val="00C9238A"/>
    <w:rsid w:val="00C96AFA"/>
    <w:rsid w:val="00C97205"/>
    <w:rsid w:val="00C9743B"/>
    <w:rsid w:val="00CA3FB0"/>
    <w:rsid w:val="00CA47F0"/>
    <w:rsid w:val="00CA6FFF"/>
    <w:rsid w:val="00CE044D"/>
    <w:rsid w:val="00CF4C81"/>
    <w:rsid w:val="00D0026C"/>
    <w:rsid w:val="00D27A52"/>
    <w:rsid w:val="00D33942"/>
    <w:rsid w:val="00D45BF4"/>
    <w:rsid w:val="00D57C91"/>
    <w:rsid w:val="00D647CA"/>
    <w:rsid w:val="00D81A9C"/>
    <w:rsid w:val="00D91238"/>
    <w:rsid w:val="00D91696"/>
    <w:rsid w:val="00D91F26"/>
    <w:rsid w:val="00D9313A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E35D5"/>
    <w:rsid w:val="00EF5912"/>
    <w:rsid w:val="00F02A88"/>
    <w:rsid w:val="00F02B23"/>
    <w:rsid w:val="00F02C55"/>
    <w:rsid w:val="00F033AB"/>
    <w:rsid w:val="00F04207"/>
    <w:rsid w:val="00F128E4"/>
    <w:rsid w:val="00F13AC6"/>
    <w:rsid w:val="00F2157A"/>
    <w:rsid w:val="00F26443"/>
    <w:rsid w:val="00F35C30"/>
    <w:rsid w:val="00F40476"/>
    <w:rsid w:val="00F52424"/>
    <w:rsid w:val="00F5306C"/>
    <w:rsid w:val="00F565C4"/>
    <w:rsid w:val="00F6407F"/>
    <w:rsid w:val="00F71D5F"/>
    <w:rsid w:val="00F74572"/>
    <w:rsid w:val="00F82BE7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C7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rena.ebanoidze@cenn.org?subject=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0030-D27A-0148-9917-43F98B19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T</cp:lastModifiedBy>
  <cp:revision>2</cp:revision>
  <cp:lastPrinted>2017-06-06T06:21:00Z</cp:lastPrinted>
  <dcterms:created xsi:type="dcterms:W3CDTF">2018-03-28T13:39:00Z</dcterms:created>
  <dcterms:modified xsi:type="dcterms:W3CDTF">2018-04-27T13:59:00Z</dcterms:modified>
</cp:coreProperties>
</file>